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BB" w:rsidRPr="00A92900" w:rsidRDefault="00B907BB" w:rsidP="00B907BB">
      <w:pPr>
        <w:jc w:val="right"/>
        <w:rPr>
          <w:rFonts w:asciiTheme="minorEastAsia" w:hAnsiTheme="minorEastAsia"/>
          <w:sz w:val="24"/>
          <w:szCs w:val="24"/>
        </w:rPr>
      </w:pPr>
    </w:p>
    <w:p w:rsidR="00B907BB" w:rsidRPr="00A92900" w:rsidRDefault="009233A4" w:rsidP="009233A4">
      <w:pPr>
        <w:jc w:val="left"/>
        <w:rPr>
          <w:rFonts w:asciiTheme="minorEastAsia" w:hAnsiTheme="minorEastAsia"/>
          <w:sz w:val="24"/>
          <w:szCs w:val="24"/>
        </w:rPr>
      </w:pPr>
      <w:r>
        <w:rPr>
          <w:rFonts w:asciiTheme="minorEastAsia" w:hAnsiTheme="minorEastAsia" w:hint="eastAsia"/>
          <w:sz w:val="24"/>
          <w:szCs w:val="24"/>
        </w:rPr>
        <w:t>安芸高田市における</w:t>
      </w:r>
      <w:r w:rsidR="00B907BB" w:rsidRPr="00A92900">
        <w:rPr>
          <w:rFonts w:asciiTheme="minorEastAsia" w:hAnsiTheme="minorEastAsia" w:hint="eastAsia"/>
          <w:sz w:val="24"/>
          <w:szCs w:val="24"/>
        </w:rPr>
        <w:t>障害を理由とする差別の解消の推進に関する職員対応要領に係る留意事項</w:t>
      </w:r>
    </w:p>
    <w:p w:rsidR="00B907BB" w:rsidRPr="00A92900" w:rsidRDefault="00B907BB" w:rsidP="00B907BB">
      <w:pPr>
        <w:rPr>
          <w:rFonts w:asciiTheme="minorEastAsia" w:hAnsiTheme="minorEastAsia"/>
          <w:sz w:val="24"/>
          <w:szCs w:val="24"/>
        </w:rPr>
      </w:pPr>
    </w:p>
    <w:p w:rsidR="00B907BB" w:rsidRPr="00A92900" w:rsidRDefault="00B907BB" w:rsidP="00B907BB">
      <w:pPr>
        <w:rPr>
          <w:rFonts w:asciiTheme="minorEastAsia" w:hAnsiTheme="minorEastAsia"/>
          <w:sz w:val="24"/>
          <w:szCs w:val="24"/>
        </w:rPr>
      </w:pPr>
      <w:r w:rsidRPr="00A92900">
        <w:rPr>
          <w:rFonts w:asciiTheme="minorEastAsia" w:hAnsiTheme="minorEastAsia" w:hint="eastAsia"/>
          <w:sz w:val="24"/>
          <w:szCs w:val="24"/>
        </w:rPr>
        <w:t>第1　不当な差別的取扱いの基本的な考え方</w:t>
      </w:r>
    </w:p>
    <w:p w:rsidR="00B907BB" w:rsidRPr="00A92900" w:rsidRDefault="00B907BB" w:rsidP="00B907BB">
      <w:pPr>
        <w:ind w:leftChars="100" w:left="214" w:firstLineChars="100" w:firstLine="244"/>
        <w:rPr>
          <w:rFonts w:asciiTheme="minorEastAsia" w:hAnsiTheme="minorEastAsia"/>
          <w:sz w:val="24"/>
          <w:szCs w:val="24"/>
        </w:rPr>
      </w:pPr>
      <w:r w:rsidRPr="00A92900">
        <w:rPr>
          <w:rFonts w:asciiTheme="minorEastAsia" w:hAnsiTheme="minorEastAsia" w:hint="eastAsia"/>
          <w:sz w:val="24"/>
          <w:szCs w:val="24"/>
        </w:rPr>
        <w:t>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p>
    <w:p w:rsidR="00B907BB" w:rsidRPr="00A92900" w:rsidRDefault="00B907BB" w:rsidP="00B907BB">
      <w:pPr>
        <w:ind w:left="244" w:hangingChars="100" w:hanging="244"/>
        <w:rPr>
          <w:rFonts w:asciiTheme="minorEastAsia" w:hAnsiTheme="minorEastAsia"/>
          <w:sz w:val="24"/>
          <w:szCs w:val="24"/>
        </w:rPr>
      </w:pPr>
      <w:r w:rsidRPr="00A9290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92900">
        <w:rPr>
          <w:rFonts w:asciiTheme="minorEastAsia" w:hAnsiTheme="minorEastAsia" w:hint="eastAsia"/>
          <w:sz w:val="24"/>
          <w:szCs w:val="24"/>
        </w:rPr>
        <w:t>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rsidR="00B907BB" w:rsidRPr="00A92900" w:rsidRDefault="00B907BB" w:rsidP="00B907BB">
      <w:pPr>
        <w:ind w:left="244" w:hangingChars="100" w:hanging="244"/>
        <w:rPr>
          <w:rFonts w:asciiTheme="minorEastAsia" w:hAnsiTheme="minorEastAsia"/>
          <w:sz w:val="24"/>
          <w:szCs w:val="24"/>
        </w:rPr>
      </w:pPr>
      <w:r w:rsidRPr="00A9290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92900">
        <w:rPr>
          <w:rFonts w:asciiTheme="minorEastAsia" w:hAnsiTheme="minorEastAsia" w:hint="eastAsia"/>
          <w:sz w:val="24"/>
          <w:szCs w:val="24"/>
        </w:rPr>
        <w:t>このように、不当な差別的取扱いとは、正当な理由なく、障害者を、問題となる事務又は事業について、本質的に関係する諸事情が同じ障害者でない者より不利に扱うことである点に留意する必要がある。</w:t>
      </w:r>
    </w:p>
    <w:p w:rsidR="00B907BB" w:rsidRPr="00A92900" w:rsidRDefault="00B907BB" w:rsidP="00B907BB">
      <w:pPr>
        <w:rPr>
          <w:rFonts w:asciiTheme="minorEastAsia" w:hAnsiTheme="minorEastAsia"/>
          <w:sz w:val="24"/>
          <w:szCs w:val="24"/>
        </w:rPr>
      </w:pPr>
    </w:p>
    <w:p w:rsidR="00B907BB" w:rsidRPr="00A92900" w:rsidRDefault="00B907BB" w:rsidP="00B907BB">
      <w:pPr>
        <w:rPr>
          <w:rFonts w:asciiTheme="minorEastAsia" w:hAnsiTheme="minorEastAsia"/>
          <w:sz w:val="24"/>
          <w:szCs w:val="24"/>
        </w:rPr>
      </w:pPr>
      <w:r w:rsidRPr="00A92900">
        <w:rPr>
          <w:rFonts w:asciiTheme="minorEastAsia" w:hAnsiTheme="minorEastAsia" w:hint="eastAsia"/>
          <w:sz w:val="24"/>
          <w:szCs w:val="24"/>
        </w:rPr>
        <w:t>第2　正当な理由の判断の視点</w:t>
      </w:r>
    </w:p>
    <w:p w:rsidR="00B907BB" w:rsidRPr="00A92900" w:rsidRDefault="00B907BB" w:rsidP="00B907BB">
      <w:pPr>
        <w:ind w:leftChars="100" w:left="214" w:firstLineChars="100" w:firstLine="244"/>
        <w:rPr>
          <w:rFonts w:asciiTheme="minorEastAsia" w:hAnsiTheme="minorEastAsia"/>
          <w:sz w:val="24"/>
          <w:szCs w:val="24"/>
        </w:rPr>
      </w:pPr>
      <w:r w:rsidRPr="00A92900">
        <w:rPr>
          <w:rFonts w:asciiTheme="minorEastAsia" w:hAnsiTheme="minorEastAsia" w:hint="eastAsia"/>
          <w:sz w:val="24"/>
          <w:szCs w:val="24"/>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w:t>
      </w:r>
      <w:r>
        <w:rPr>
          <w:rFonts w:asciiTheme="minorEastAsia" w:hAnsiTheme="minorEastAsia" w:hint="eastAsia"/>
          <w:sz w:val="24"/>
          <w:szCs w:val="24"/>
        </w:rPr>
        <w:t>る。</w:t>
      </w:r>
      <w:r w:rsidRPr="00A92900">
        <w:rPr>
          <w:rFonts w:asciiTheme="minorEastAsia" w:hAnsiTheme="minorEastAsia" w:hint="eastAsia"/>
          <w:sz w:val="24"/>
          <w:szCs w:val="24"/>
        </w:rPr>
        <w:t>正当な理由に相当するか否かについて、具体的な検討をせずに正当な理由を拡大解釈するなどして法の趣旨を損なうことなく、個別の事案ごとに、障害者、第三者の権利利益（例：安全の確保、財産の保全、損害発生の防止等）及び</w:t>
      </w:r>
      <w:r>
        <w:rPr>
          <w:rFonts w:asciiTheme="minorEastAsia" w:hAnsiTheme="minorEastAsia" w:hint="eastAsia"/>
          <w:sz w:val="24"/>
          <w:szCs w:val="24"/>
        </w:rPr>
        <w:t>その</w:t>
      </w:r>
      <w:r w:rsidRPr="00A92900">
        <w:rPr>
          <w:rFonts w:asciiTheme="minorEastAsia" w:hAnsiTheme="minorEastAsia" w:hint="eastAsia"/>
          <w:sz w:val="24"/>
          <w:szCs w:val="24"/>
        </w:rPr>
        <w:t>事務又は事業の目的・内容・機能の維持等の観点に鑑み、具体的場面や状況に応じて総合的・客観的に判断することが必要である。</w:t>
      </w:r>
    </w:p>
    <w:p w:rsidR="00B907BB" w:rsidRPr="00A92900" w:rsidRDefault="00B907BB" w:rsidP="00B907BB">
      <w:pPr>
        <w:ind w:left="244" w:hangingChars="100" w:hanging="244"/>
        <w:rPr>
          <w:rFonts w:asciiTheme="minorEastAsia" w:hAnsiTheme="minorEastAsia"/>
          <w:sz w:val="24"/>
          <w:szCs w:val="24"/>
        </w:rPr>
      </w:pPr>
      <w:r w:rsidRPr="00A9290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92900">
        <w:rPr>
          <w:rFonts w:asciiTheme="minorEastAsia" w:hAnsiTheme="minorEastAsia" w:hint="eastAsia"/>
          <w:sz w:val="24"/>
          <w:szCs w:val="24"/>
        </w:rPr>
        <w:t>職員は、正当な理由があると判断した場合には、障害者にその理由を説明するものとし、理解を得るよう努めることが望ましい。なお、理解が得られない場合には、相談窓口への相談を考慮することが望ましい。</w:t>
      </w:r>
    </w:p>
    <w:p w:rsidR="00B907BB" w:rsidRPr="00A92900" w:rsidRDefault="00B907BB" w:rsidP="00B907BB">
      <w:pPr>
        <w:rPr>
          <w:rFonts w:asciiTheme="minorEastAsia" w:hAnsiTheme="minorEastAsia"/>
          <w:sz w:val="24"/>
          <w:szCs w:val="24"/>
        </w:rPr>
      </w:pPr>
    </w:p>
    <w:p w:rsidR="00B907BB" w:rsidRPr="00A92900" w:rsidRDefault="00B907BB" w:rsidP="00B907BB">
      <w:pPr>
        <w:rPr>
          <w:rFonts w:asciiTheme="minorEastAsia" w:hAnsiTheme="minorEastAsia"/>
          <w:sz w:val="24"/>
          <w:szCs w:val="24"/>
        </w:rPr>
      </w:pPr>
      <w:r w:rsidRPr="00A92900">
        <w:rPr>
          <w:rFonts w:asciiTheme="minorEastAsia" w:hAnsiTheme="minorEastAsia" w:hint="eastAsia"/>
          <w:sz w:val="24"/>
          <w:szCs w:val="24"/>
        </w:rPr>
        <w:t>第3　不当な差別的取扱いの具体例</w:t>
      </w:r>
    </w:p>
    <w:p w:rsidR="00B907BB" w:rsidRDefault="00B907BB" w:rsidP="00B907BB">
      <w:pPr>
        <w:ind w:leftChars="100" w:left="214" w:firstLineChars="100" w:firstLine="244"/>
        <w:rPr>
          <w:rFonts w:asciiTheme="minorEastAsia" w:hAnsiTheme="minorEastAsia"/>
          <w:sz w:val="24"/>
          <w:szCs w:val="24"/>
        </w:rPr>
      </w:pPr>
      <w:r w:rsidRPr="00A92900">
        <w:rPr>
          <w:rFonts w:asciiTheme="minorEastAsia" w:hAnsiTheme="minorEastAsia" w:hint="eastAsia"/>
          <w:sz w:val="24"/>
          <w:szCs w:val="24"/>
        </w:rPr>
        <w:t>不当な差別的取扱いに当たり得る具体例は以下のとおりである。なお、第2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w:t>
      </w:r>
      <w:r w:rsidRPr="00A92900">
        <w:rPr>
          <w:rFonts w:asciiTheme="minorEastAsia" w:hAnsiTheme="minorEastAsia" w:hint="eastAsia"/>
          <w:sz w:val="24"/>
          <w:szCs w:val="24"/>
        </w:rPr>
        <w:lastRenderedPageBreak/>
        <w:t>る具体例だけに限られるものではないことに留意する必要がある。</w:t>
      </w:r>
    </w:p>
    <w:p w:rsidR="00B907BB" w:rsidRPr="00A92900" w:rsidRDefault="00B907BB" w:rsidP="00B907BB">
      <w:pPr>
        <w:ind w:firstLineChars="100" w:firstLine="244"/>
        <w:rPr>
          <w:rFonts w:asciiTheme="minorEastAsia" w:hAnsiTheme="minorEastAsia"/>
          <w:sz w:val="24"/>
          <w:szCs w:val="24"/>
        </w:rPr>
      </w:pPr>
    </w:p>
    <w:p w:rsidR="00B907BB" w:rsidRPr="00A92900" w:rsidRDefault="00B907BB" w:rsidP="00B907BB">
      <w:pPr>
        <w:ind w:firstLineChars="100" w:firstLine="244"/>
        <w:rPr>
          <w:rFonts w:asciiTheme="minorEastAsia" w:hAnsiTheme="minorEastAsia"/>
          <w:sz w:val="24"/>
          <w:szCs w:val="24"/>
        </w:rPr>
      </w:pPr>
      <w:r>
        <w:rPr>
          <w:rFonts w:asciiTheme="minorEastAsia" w:hAnsiTheme="minorEastAsia" w:hint="eastAsia"/>
          <w:sz w:val="24"/>
          <w:szCs w:val="24"/>
        </w:rPr>
        <w:t>(</w:t>
      </w:r>
      <w:r w:rsidRPr="00A92900">
        <w:rPr>
          <w:rFonts w:asciiTheme="minorEastAsia" w:hAnsiTheme="minorEastAsia" w:hint="eastAsia"/>
          <w:sz w:val="24"/>
          <w:szCs w:val="24"/>
        </w:rPr>
        <w:t>不当な差別的取扱いに当たり得る具体例</w:t>
      </w:r>
      <w:r>
        <w:rPr>
          <w:rFonts w:asciiTheme="minorEastAsia" w:hAnsiTheme="minorEastAsia" w:hint="eastAsia"/>
          <w:sz w:val="24"/>
          <w:szCs w:val="24"/>
        </w:rPr>
        <w:t>)</w:t>
      </w:r>
    </w:p>
    <w:p w:rsidR="00B907BB" w:rsidRPr="00A92900" w:rsidRDefault="00B907BB" w:rsidP="00B907BB">
      <w:pPr>
        <w:ind w:leftChars="100" w:left="685" w:hangingChars="193" w:hanging="471"/>
        <w:rPr>
          <w:rFonts w:asciiTheme="minorEastAsia" w:hAnsiTheme="minorEastAsia"/>
          <w:sz w:val="24"/>
          <w:szCs w:val="24"/>
        </w:rPr>
      </w:pPr>
      <w:r>
        <w:rPr>
          <w:rFonts w:asciiTheme="minorEastAsia" w:hAnsiTheme="minorEastAsia" w:hint="eastAsia"/>
          <w:sz w:val="24"/>
          <w:szCs w:val="24"/>
        </w:rPr>
        <w:t>○</w:t>
      </w:r>
      <w:r w:rsidRPr="00A92900">
        <w:rPr>
          <w:rFonts w:asciiTheme="minorEastAsia" w:hAnsiTheme="minorEastAsia" w:hint="eastAsia"/>
          <w:sz w:val="24"/>
          <w:szCs w:val="24"/>
        </w:rPr>
        <w:t>障害を理由に窓口対応を拒否する。</w:t>
      </w:r>
    </w:p>
    <w:p w:rsidR="00B907BB" w:rsidRPr="00A92900" w:rsidRDefault="00B907BB" w:rsidP="00B907BB">
      <w:pPr>
        <w:ind w:firstLineChars="100" w:firstLine="244"/>
        <w:rPr>
          <w:rFonts w:asciiTheme="minorEastAsia" w:hAnsiTheme="minorEastAsia"/>
          <w:sz w:val="24"/>
          <w:szCs w:val="24"/>
        </w:rPr>
      </w:pPr>
      <w:r>
        <w:rPr>
          <w:rFonts w:asciiTheme="minorEastAsia" w:hAnsiTheme="minorEastAsia" w:hint="eastAsia"/>
          <w:sz w:val="24"/>
          <w:szCs w:val="24"/>
        </w:rPr>
        <w:t>○</w:t>
      </w:r>
      <w:r w:rsidRPr="00A92900">
        <w:rPr>
          <w:rFonts w:asciiTheme="minorEastAsia" w:hAnsiTheme="minorEastAsia" w:hint="eastAsia"/>
          <w:sz w:val="24"/>
          <w:szCs w:val="24"/>
        </w:rPr>
        <w:t>障害を理由に対応の順序を後回しにする。</w:t>
      </w:r>
    </w:p>
    <w:p w:rsidR="00B907BB" w:rsidRPr="00A92900" w:rsidRDefault="00B907BB" w:rsidP="00B907BB">
      <w:pPr>
        <w:ind w:leftChars="100" w:left="214" w:rightChars="-67" w:right="-143"/>
        <w:rPr>
          <w:rFonts w:asciiTheme="minorEastAsia" w:hAnsiTheme="minorEastAsia"/>
          <w:sz w:val="24"/>
          <w:szCs w:val="24"/>
        </w:rPr>
      </w:pPr>
      <w:r>
        <w:rPr>
          <w:rFonts w:asciiTheme="minorEastAsia" w:hAnsiTheme="minorEastAsia" w:hint="eastAsia"/>
          <w:sz w:val="24"/>
          <w:szCs w:val="24"/>
        </w:rPr>
        <w:t>○</w:t>
      </w:r>
      <w:r w:rsidRPr="00A92900">
        <w:rPr>
          <w:rFonts w:asciiTheme="minorEastAsia" w:hAnsiTheme="minorEastAsia" w:hint="eastAsia"/>
          <w:sz w:val="24"/>
          <w:szCs w:val="24"/>
        </w:rPr>
        <w:t>障害を理由に書面の交付、資料の送付、パンフレット、筆談メモの提供等を拒む。</w:t>
      </w:r>
    </w:p>
    <w:p w:rsidR="00B907BB" w:rsidRPr="00A92900" w:rsidRDefault="00B907BB" w:rsidP="00B907BB">
      <w:pPr>
        <w:ind w:leftChars="100" w:left="685" w:hangingChars="193" w:hanging="471"/>
        <w:rPr>
          <w:rFonts w:asciiTheme="minorEastAsia" w:hAnsiTheme="minorEastAsia"/>
          <w:sz w:val="24"/>
          <w:szCs w:val="24"/>
        </w:rPr>
      </w:pPr>
      <w:r>
        <w:rPr>
          <w:rFonts w:asciiTheme="minorEastAsia" w:hAnsiTheme="minorEastAsia" w:hint="eastAsia"/>
          <w:sz w:val="24"/>
          <w:szCs w:val="24"/>
        </w:rPr>
        <w:t>○</w:t>
      </w:r>
      <w:r w:rsidRPr="00A92900">
        <w:rPr>
          <w:rFonts w:asciiTheme="minorEastAsia" w:hAnsiTheme="minorEastAsia" w:hint="eastAsia"/>
          <w:sz w:val="24"/>
          <w:szCs w:val="24"/>
        </w:rPr>
        <w:t>障害を理由に説明会、シンポジウム等への出席を拒む。</w:t>
      </w:r>
    </w:p>
    <w:p w:rsidR="00B907BB" w:rsidRPr="00A92900"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A92900">
        <w:rPr>
          <w:rFonts w:asciiTheme="minorEastAsia" w:hAnsiTheme="minorEastAsia" w:hint="eastAsia"/>
          <w:sz w:val="24"/>
          <w:szCs w:val="24"/>
        </w:rPr>
        <w:t>事務・事業の遂行上、特に必要ではないにもかかわらず、障害を理由に、来庁の際に付き添い者の同行を求めるなどの条件を付けたり、特に支障がないにもかかわらず、付き添い者の同行を拒んだりする。</w:t>
      </w:r>
    </w:p>
    <w:p w:rsidR="00B907BB" w:rsidRPr="00A92900" w:rsidRDefault="00B907BB" w:rsidP="00B907BB">
      <w:pPr>
        <w:ind w:leftChars="100" w:left="685" w:hangingChars="193" w:hanging="471"/>
        <w:rPr>
          <w:rFonts w:asciiTheme="minorEastAsia" w:hAnsiTheme="minorEastAsia"/>
          <w:sz w:val="24"/>
          <w:szCs w:val="24"/>
        </w:rPr>
      </w:pPr>
      <w:r>
        <w:rPr>
          <w:rFonts w:asciiTheme="minorEastAsia" w:hAnsiTheme="minorEastAsia" w:hint="eastAsia"/>
          <w:sz w:val="24"/>
          <w:szCs w:val="24"/>
        </w:rPr>
        <w:t>○</w:t>
      </w:r>
      <w:r w:rsidRPr="00A92900">
        <w:rPr>
          <w:rFonts w:asciiTheme="minorEastAsia" w:hAnsiTheme="minorEastAsia" w:hint="eastAsia"/>
          <w:sz w:val="24"/>
          <w:szCs w:val="24"/>
        </w:rPr>
        <w:t>身体障害者補助犬の同伴を拒否する。</w:t>
      </w:r>
    </w:p>
    <w:p w:rsidR="00B907BB" w:rsidRPr="0090354D" w:rsidRDefault="00B907BB" w:rsidP="00B907BB">
      <w:pPr>
        <w:rPr>
          <w:rFonts w:asciiTheme="minorEastAsia" w:hAnsiTheme="minorEastAsia"/>
          <w:sz w:val="24"/>
          <w:szCs w:val="24"/>
        </w:rPr>
      </w:pPr>
    </w:p>
    <w:p w:rsidR="00B907BB" w:rsidRPr="00A92900" w:rsidRDefault="00B907BB" w:rsidP="00B907BB">
      <w:pPr>
        <w:rPr>
          <w:rFonts w:asciiTheme="minorEastAsia" w:hAnsiTheme="minorEastAsia"/>
          <w:sz w:val="24"/>
          <w:szCs w:val="24"/>
        </w:rPr>
      </w:pPr>
      <w:r w:rsidRPr="00A92900">
        <w:rPr>
          <w:rFonts w:asciiTheme="minorEastAsia" w:hAnsiTheme="minorEastAsia" w:hint="eastAsia"/>
          <w:sz w:val="24"/>
          <w:szCs w:val="24"/>
        </w:rPr>
        <w:t>第4　合理的配慮の基本的な考え方</w:t>
      </w:r>
    </w:p>
    <w:p w:rsidR="00B907BB" w:rsidRPr="00A92900" w:rsidRDefault="00B907BB" w:rsidP="00B907BB">
      <w:pPr>
        <w:ind w:leftChars="100" w:left="214"/>
        <w:rPr>
          <w:rFonts w:asciiTheme="minorEastAsia" w:hAnsiTheme="minorEastAsia"/>
          <w:sz w:val="24"/>
          <w:szCs w:val="24"/>
        </w:rPr>
      </w:pPr>
      <w:r w:rsidRPr="00A92900">
        <w:rPr>
          <w:rFonts w:asciiTheme="minorEastAsia" w:hAnsiTheme="minorEastAsia" w:hint="eastAsia"/>
          <w:sz w:val="24"/>
          <w:szCs w:val="24"/>
        </w:rPr>
        <w:t>1　障害者の権利に関する条約(以下「権利条約」という。)第2条において、「合理的配慮」は、「障害者が他の者との平等を基礎として全ての人権及び基</w:t>
      </w:r>
      <w:r>
        <w:rPr>
          <w:rFonts w:asciiTheme="minorEastAsia" w:hAnsiTheme="minorEastAsia" w:hint="eastAsia"/>
          <w:sz w:val="24"/>
          <w:szCs w:val="24"/>
        </w:rPr>
        <w:t xml:space="preserve">　</w:t>
      </w:r>
      <w:r w:rsidRPr="00A92900">
        <w:rPr>
          <w:rFonts w:asciiTheme="minorEastAsia" w:hAnsiTheme="minorEastAsia" w:hint="eastAsia"/>
          <w:sz w:val="24"/>
          <w:szCs w:val="24"/>
        </w:rPr>
        <w:t>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B907BB" w:rsidRPr="00A92900" w:rsidRDefault="00B907BB" w:rsidP="00B907BB">
      <w:pPr>
        <w:ind w:leftChars="100" w:left="214" w:firstLineChars="100" w:firstLine="244"/>
        <w:rPr>
          <w:rFonts w:asciiTheme="minorEastAsia" w:hAnsiTheme="minorEastAsia"/>
          <w:sz w:val="24"/>
          <w:szCs w:val="24"/>
        </w:rPr>
      </w:pPr>
      <w:r w:rsidRPr="00A92900">
        <w:rPr>
          <w:rFonts w:asciiTheme="minorEastAsia" w:hAnsiTheme="minorEastAsia" w:hint="eastAsia"/>
          <w:sz w:val="24"/>
          <w:szCs w:val="24"/>
        </w:rPr>
        <w:t>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rsidR="00B907BB" w:rsidRPr="00A92900" w:rsidRDefault="00B907BB" w:rsidP="00B907BB">
      <w:pPr>
        <w:ind w:leftChars="100" w:left="214" w:firstLineChars="100" w:firstLine="244"/>
        <w:rPr>
          <w:rFonts w:asciiTheme="minorEastAsia" w:hAnsiTheme="minorEastAsia"/>
          <w:sz w:val="24"/>
          <w:szCs w:val="24"/>
        </w:rPr>
      </w:pPr>
      <w:r w:rsidRPr="00A92900">
        <w:rPr>
          <w:rFonts w:asciiTheme="minorEastAsia" w:hAnsiTheme="minorEastAsia" w:hint="eastAsia"/>
          <w:sz w:val="24"/>
          <w:szCs w:val="24"/>
        </w:rPr>
        <w:t>合理的配慮は、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p>
    <w:p w:rsidR="00B907BB" w:rsidRPr="00A92900" w:rsidRDefault="00B907BB" w:rsidP="00B907BB">
      <w:pPr>
        <w:ind w:leftChars="100" w:left="214"/>
        <w:rPr>
          <w:rFonts w:asciiTheme="minorEastAsia" w:hAnsiTheme="minorEastAsia"/>
          <w:sz w:val="24"/>
          <w:szCs w:val="24"/>
        </w:rPr>
      </w:pPr>
      <w:r w:rsidRPr="00A92900">
        <w:rPr>
          <w:rFonts w:asciiTheme="minorEastAsia" w:hAnsiTheme="minorEastAsia" w:hint="eastAsia"/>
          <w:sz w:val="24"/>
          <w:szCs w:val="24"/>
        </w:rPr>
        <w:t>2　合理的配慮は、障害の特性や社会的障壁の除去が求められる具体的場面や状況に応じて異なり、多様かつ個別性の高いものであり、当該障害者が現に置かれている状況を踏まえ、社会的障壁の除去のための手段及び方法について、「第5　過重な負担の基本的な考え方」に掲げる要素を考慮し、代替措置の選択も含め、双方の建設的対話による</w:t>
      </w:r>
      <w:r w:rsidRPr="00A92900">
        <w:rPr>
          <w:rFonts w:asciiTheme="minorEastAsia" w:hAnsiTheme="minorEastAsia" w:hint="eastAsia"/>
          <w:sz w:val="24"/>
          <w:szCs w:val="24"/>
        </w:rPr>
        <w:lastRenderedPageBreak/>
        <w:t>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rsidR="00B907BB" w:rsidRPr="00A92900" w:rsidRDefault="00B907BB" w:rsidP="00B907BB">
      <w:pPr>
        <w:ind w:leftChars="100" w:left="214" w:firstLineChars="100" w:firstLine="244"/>
        <w:rPr>
          <w:rFonts w:asciiTheme="minorEastAsia" w:hAnsiTheme="minorEastAsia"/>
          <w:sz w:val="24"/>
          <w:szCs w:val="24"/>
        </w:rPr>
      </w:pPr>
      <w:r w:rsidRPr="00A92900">
        <w:rPr>
          <w:rFonts w:asciiTheme="minorEastAsia" w:hAnsiTheme="minorEastAsia" w:hint="eastAsia"/>
          <w:sz w:val="24"/>
          <w:szCs w:val="24"/>
        </w:rPr>
        <w:t>なお、合理的配慮を必要とする障害者が多数見込まれる場合、障害者との関係性が長期にわたる場合等には、その都度の合理的配慮とは別に、後述する環境の整備を考慮に入れることにより、中・長期的なコストの削減・効率化につながる点は重要である。</w:t>
      </w:r>
    </w:p>
    <w:p w:rsidR="00B907BB" w:rsidRPr="00A92900" w:rsidRDefault="00B907BB" w:rsidP="00B907BB">
      <w:pPr>
        <w:ind w:leftChars="100" w:left="214"/>
        <w:rPr>
          <w:rFonts w:asciiTheme="minorEastAsia" w:hAnsiTheme="minorEastAsia"/>
          <w:sz w:val="24"/>
          <w:szCs w:val="24"/>
        </w:rPr>
      </w:pPr>
      <w:r w:rsidRPr="00A92900">
        <w:rPr>
          <w:rFonts w:asciiTheme="minorEastAsia" w:hAnsiTheme="minorEastAsia" w:hint="eastAsia"/>
          <w:sz w:val="24"/>
          <w:szCs w:val="24"/>
        </w:rPr>
        <w:t>3　意思の表明に当たっては、具体的場面において、社会的障壁の除去に関する配慮を必要としている状況にあることを言語(手話を含む。)のほか、点字、拡大文字、要約筆記、筆談、口話、実物の提示や身振りサイン等による合図、触覚による意思伝達など、障害者が他人とコミュニケーションを図る際に必要な手段(手話通訳等の通訳を介するものやＩＣＴ機器によるものを含む。)により伝えられる。</w:t>
      </w:r>
    </w:p>
    <w:p w:rsidR="00B907BB" w:rsidRPr="00A92900" w:rsidRDefault="00B907BB" w:rsidP="00B907BB">
      <w:pPr>
        <w:ind w:leftChars="100" w:left="214" w:firstLineChars="100" w:firstLine="244"/>
        <w:rPr>
          <w:rFonts w:asciiTheme="minorEastAsia" w:hAnsiTheme="minorEastAsia"/>
          <w:sz w:val="24"/>
          <w:szCs w:val="24"/>
        </w:rPr>
      </w:pPr>
      <w:r w:rsidRPr="00A92900">
        <w:rPr>
          <w:rFonts w:asciiTheme="minorEastAsia" w:hAnsiTheme="minorEastAsia" w:hint="eastAsia"/>
          <w:sz w:val="24"/>
          <w:szCs w:val="24"/>
        </w:rPr>
        <w:t>また、障害者からの意思表明のみでなく、知的障害や精神障害(発達障害を含む。)等により本人の意思表明が困難な場合には、障害者の家族、支援者・介助者、法定代理人等、コミュニケーションを支援する者が本人を補佐して行う意思の表明も含む。</w:t>
      </w:r>
    </w:p>
    <w:p w:rsidR="00B907BB" w:rsidRPr="00A92900" w:rsidRDefault="00B907BB" w:rsidP="00B907BB">
      <w:pPr>
        <w:ind w:leftChars="100" w:left="214" w:firstLineChars="100" w:firstLine="244"/>
        <w:rPr>
          <w:rFonts w:asciiTheme="minorEastAsia" w:hAnsiTheme="minorEastAsia"/>
          <w:sz w:val="24"/>
          <w:szCs w:val="24"/>
        </w:rPr>
      </w:pPr>
      <w:r w:rsidRPr="00A92900">
        <w:rPr>
          <w:rFonts w:asciiTheme="minorEastAsia" w:hAnsiTheme="minorEastAsia" w:hint="eastAsia"/>
          <w:sz w:val="24"/>
          <w:szCs w:val="24"/>
        </w:rPr>
        <w:t>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が望ましい。</w:t>
      </w:r>
    </w:p>
    <w:p w:rsidR="00B907BB" w:rsidRPr="00A92900" w:rsidRDefault="00B907BB" w:rsidP="00B907BB">
      <w:pPr>
        <w:ind w:leftChars="100" w:left="214"/>
        <w:rPr>
          <w:rFonts w:asciiTheme="minorEastAsia" w:hAnsiTheme="minorEastAsia"/>
          <w:sz w:val="24"/>
          <w:szCs w:val="24"/>
        </w:rPr>
      </w:pPr>
      <w:r w:rsidRPr="00A92900">
        <w:rPr>
          <w:rFonts w:asciiTheme="minorEastAsia" w:hAnsiTheme="minorEastAsia" w:hint="eastAsia"/>
          <w:sz w:val="24"/>
          <w:szCs w:val="24"/>
        </w:rPr>
        <w:t>4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B907BB" w:rsidRPr="00A92900" w:rsidRDefault="00B907BB" w:rsidP="00B907BB">
      <w:pPr>
        <w:ind w:leftChars="100" w:left="214"/>
        <w:rPr>
          <w:rFonts w:asciiTheme="minorEastAsia" w:hAnsiTheme="minorEastAsia"/>
          <w:sz w:val="24"/>
          <w:szCs w:val="24"/>
        </w:rPr>
      </w:pPr>
      <w:r w:rsidRPr="00A92900">
        <w:rPr>
          <w:rFonts w:asciiTheme="minorEastAsia" w:hAnsiTheme="minorEastAsia" w:hint="eastAsia"/>
          <w:sz w:val="24"/>
          <w:szCs w:val="24"/>
        </w:rPr>
        <w:t>5　事務又は事業の一環として実施する業務を事業者に委託等する場合は、提供される合理的配慮の内容に大きな差異が生ずることにより障害者が不利益を受けることのないよう、委託等の条件に、対応要領を踏まえた合理的配慮の提供について盛り込むよう努めることが望ましい。</w:t>
      </w:r>
    </w:p>
    <w:p w:rsidR="00B907BB" w:rsidRPr="00A92900" w:rsidRDefault="00B907BB" w:rsidP="00B907BB">
      <w:pPr>
        <w:rPr>
          <w:rFonts w:asciiTheme="minorEastAsia" w:hAnsiTheme="minorEastAsia"/>
          <w:sz w:val="24"/>
          <w:szCs w:val="24"/>
        </w:rPr>
      </w:pPr>
    </w:p>
    <w:p w:rsidR="00B907BB" w:rsidRPr="00A92900" w:rsidRDefault="00B907BB" w:rsidP="00B907BB">
      <w:pPr>
        <w:rPr>
          <w:rFonts w:asciiTheme="minorEastAsia" w:hAnsiTheme="minorEastAsia"/>
          <w:sz w:val="24"/>
          <w:szCs w:val="24"/>
        </w:rPr>
      </w:pPr>
      <w:r>
        <w:rPr>
          <w:rFonts w:asciiTheme="minorEastAsia" w:hAnsiTheme="minorEastAsia" w:hint="eastAsia"/>
          <w:sz w:val="24"/>
          <w:szCs w:val="24"/>
        </w:rPr>
        <w:t>第5</w:t>
      </w:r>
      <w:r w:rsidRPr="00A92900">
        <w:rPr>
          <w:rFonts w:asciiTheme="minorEastAsia" w:hAnsiTheme="minorEastAsia" w:hint="eastAsia"/>
          <w:sz w:val="24"/>
          <w:szCs w:val="24"/>
        </w:rPr>
        <w:t xml:space="preserve">　過重な負担の基本的な考え方</w:t>
      </w:r>
    </w:p>
    <w:p w:rsidR="00B907BB" w:rsidRDefault="00B907BB" w:rsidP="00B907BB">
      <w:pPr>
        <w:ind w:leftChars="100" w:left="214" w:firstLineChars="100" w:firstLine="244"/>
        <w:rPr>
          <w:rFonts w:asciiTheme="minorEastAsia" w:hAnsiTheme="minorEastAsia"/>
          <w:sz w:val="24"/>
          <w:szCs w:val="24"/>
        </w:rPr>
      </w:pPr>
      <w:r w:rsidRPr="00A92900">
        <w:rPr>
          <w:rFonts w:asciiTheme="minorEastAsia" w:hAnsiTheme="minorEastAsia" w:hint="eastAsia"/>
          <w:sz w:val="24"/>
          <w:szCs w:val="24"/>
        </w:rPr>
        <w:t>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害者にその理由を説明するものとし、理解を得るよう努めること</w:t>
      </w:r>
      <w:r w:rsidRPr="00A92900">
        <w:rPr>
          <w:rFonts w:asciiTheme="minorEastAsia" w:hAnsiTheme="minorEastAsia" w:hint="eastAsia"/>
          <w:sz w:val="24"/>
          <w:szCs w:val="24"/>
        </w:rPr>
        <w:lastRenderedPageBreak/>
        <w:t>が望ましい。なお、理解が得られない場合には、相談窓口への相談を考慮することが望ましい。</w:t>
      </w:r>
    </w:p>
    <w:p w:rsidR="00B907BB"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90354D">
        <w:rPr>
          <w:rFonts w:asciiTheme="minorEastAsia" w:hAnsiTheme="minorEastAsia" w:hint="eastAsia"/>
          <w:sz w:val="24"/>
          <w:szCs w:val="24"/>
        </w:rPr>
        <w:t>事務又は事業への影響の程度（事務又は事業の目的、内容、機能を損なうか否か）</w:t>
      </w:r>
    </w:p>
    <w:p w:rsidR="00B907BB" w:rsidRPr="0090354D" w:rsidRDefault="00B907BB" w:rsidP="00B907BB">
      <w:pPr>
        <w:ind w:firstLineChars="100" w:firstLine="244"/>
        <w:rPr>
          <w:rFonts w:asciiTheme="minorEastAsia" w:hAnsiTheme="minorEastAsia"/>
          <w:sz w:val="24"/>
          <w:szCs w:val="24"/>
        </w:rPr>
      </w:pPr>
      <w:r>
        <w:rPr>
          <w:rFonts w:asciiTheme="minorEastAsia" w:hAnsiTheme="minorEastAsia" w:hint="eastAsia"/>
          <w:sz w:val="24"/>
          <w:szCs w:val="24"/>
        </w:rPr>
        <w:t>○</w:t>
      </w:r>
      <w:r w:rsidRPr="0090354D">
        <w:rPr>
          <w:rFonts w:asciiTheme="minorEastAsia" w:hAnsiTheme="minorEastAsia" w:hint="eastAsia"/>
          <w:sz w:val="24"/>
          <w:szCs w:val="24"/>
        </w:rPr>
        <w:t>実現可能性の程度（物理的・技術的制約、人的・体制上の制約）</w:t>
      </w:r>
    </w:p>
    <w:p w:rsidR="00B907BB" w:rsidRPr="0090354D" w:rsidRDefault="00B907BB" w:rsidP="00B907BB">
      <w:pPr>
        <w:ind w:firstLineChars="100" w:firstLine="244"/>
        <w:rPr>
          <w:rFonts w:asciiTheme="minorEastAsia" w:hAnsiTheme="minorEastAsia"/>
          <w:sz w:val="24"/>
          <w:szCs w:val="24"/>
        </w:rPr>
      </w:pPr>
      <w:r>
        <w:rPr>
          <w:rFonts w:asciiTheme="minorEastAsia" w:hAnsiTheme="minorEastAsia" w:hint="eastAsia"/>
          <w:sz w:val="24"/>
          <w:szCs w:val="24"/>
        </w:rPr>
        <w:t>○</w:t>
      </w:r>
      <w:r w:rsidRPr="0090354D">
        <w:rPr>
          <w:rFonts w:asciiTheme="minorEastAsia" w:hAnsiTheme="minorEastAsia" w:hint="eastAsia"/>
          <w:sz w:val="24"/>
          <w:szCs w:val="24"/>
        </w:rPr>
        <w:t>費用・負担の程度</w:t>
      </w:r>
    </w:p>
    <w:p w:rsidR="00B907BB" w:rsidRPr="00A92900" w:rsidRDefault="00B907BB" w:rsidP="00B907BB">
      <w:pPr>
        <w:rPr>
          <w:rFonts w:asciiTheme="minorEastAsia" w:hAnsiTheme="minorEastAsia"/>
          <w:sz w:val="24"/>
          <w:szCs w:val="24"/>
        </w:rPr>
      </w:pPr>
    </w:p>
    <w:p w:rsidR="00B907BB" w:rsidRPr="00A92900" w:rsidRDefault="00B907BB" w:rsidP="00B907BB">
      <w:pPr>
        <w:rPr>
          <w:rFonts w:asciiTheme="minorEastAsia" w:hAnsiTheme="minorEastAsia"/>
          <w:sz w:val="24"/>
          <w:szCs w:val="24"/>
        </w:rPr>
      </w:pPr>
      <w:r>
        <w:rPr>
          <w:rFonts w:asciiTheme="minorEastAsia" w:hAnsiTheme="minorEastAsia" w:hint="eastAsia"/>
          <w:sz w:val="24"/>
          <w:szCs w:val="24"/>
        </w:rPr>
        <w:t>第6</w:t>
      </w:r>
      <w:r w:rsidRPr="00A92900">
        <w:rPr>
          <w:rFonts w:asciiTheme="minorEastAsia" w:hAnsiTheme="minorEastAsia" w:hint="eastAsia"/>
          <w:sz w:val="24"/>
          <w:szCs w:val="24"/>
        </w:rPr>
        <w:t xml:space="preserve">　合理的配慮の具体例</w:t>
      </w:r>
    </w:p>
    <w:p w:rsidR="00B907BB" w:rsidRPr="00A92900" w:rsidRDefault="00B907BB" w:rsidP="00B907BB">
      <w:pPr>
        <w:ind w:leftChars="100" w:left="214" w:firstLineChars="100" w:firstLine="244"/>
        <w:rPr>
          <w:rFonts w:asciiTheme="minorEastAsia" w:hAnsiTheme="minorEastAsia"/>
          <w:sz w:val="24"/>
          <w:szCs w:val="24"/>
        </w:rPr>
      </w:pPr>
      <w:r w:rsidRPr="00A92900">
        <w:rPr>
          <w:rFonts w:asciiTheme="minorEastAsia" w:hAnsiTheme="minorEastAsia" w:hint="eastAsia"/>
          <w:sz w:val="24"/>
          <w:szCs w:val="24"/>
        </w:rPr>
        <w:t>第4で示したとおり、合理的配慮は、具体的場面や状況に応じて異なり、多様かつ個別性の高いものであるが、具体例としては、次のようなものがある。</w:t>
      </w:r>
    </w:p>
    <w:p w:rsidR="00B907BB" w:rsidRDefault="00B907BB" w:rsidP="00B907BB">
      <w:pPr>
        <w:ind w:left="244" w:hangingChars="100" w:hanging="244"/>
        <w:rPr>
          <w:rFonts w:asciiTheme="minorEastAsia" w:hAnsiTheme="minorEastAsia"/>
          <w:sz w:val="24"/>
          <w:szCs w:val="24"/>
        </w:rPr>
      </w:pPr>
      <w:r w:rsidRPr="00A9290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92900">
        <w:rPr>
          <w:rFonts w:asciiTheme="minorEastAsia" w:hAnsiTheme="minorEastAsia" w:hint="eastAsia"/>
          <w:sz w:val="24"/>
          <w:szCs w:val="24"/>
        </w:rPr>
        <w:t>なお、記載した具体例については、第5で示した過重な負担が存在しないことを前提としていること、また、これらはあくまでも例示であり、記載されている具体例だけに限られるものではないことに留意する必要がある。</w:t>
      </w:r>
    </w:p>
    <w:p w:rsidR="00B907BB" w:rsidRPr="00A92900" w:rsidRDefault="00B907BB" w:rsidP="00B907BB">
      <w:pPr>
        <w:rPr>
          <w:rFonts w:asciiTheme="minorEastAsia" w:hAnsiTheme="minorEastAsia"/>
          <w:sz w:val="24"/>
          <w:szCs w:val="24"/>
        </w:rPr>
      </w:pPr>
    </w:p>
    <w:p w:rsidR="00B907BB" w:rsidRDefault="00B907BB" w:rsidP="00B907BB">
      <w:pPr>
        <w:ind w:firstLineChars="100" w:firstLine="244"/>
        <w:rPr>
          <w:rFonts w:asciiTheme="minorEastAsia" w:hAnsiTheme="minorEastAsia"/>
          <w:sz w:val="24"/>
          <w:szCs w:val="24"/>
        </w:rPr>
      </w:pPr>
      <w:r>
        <w:rPr>
          <w:rFonts w:asciiTheme="minorEastAsia" w:hAnsiTheme="minorEastAsia" w:hint="eastAsia"/>
          <w:sz w:val="24"/>
          <w:szCs w:val="24"/>
        </w:rPr>
        <w:t>(</w:t>
      </w:r>
      <w:r w:rsidRPr="00A92900">
        <w:rPr>
          <w:rFonts w:asciiTheme="minorEastAsia" w:hAnsiTheme="minorEastAsia" w:hint="eastAsia"/>
          <w:sz w:val="24"/>
          <w:szCs w:val="24"/>
        </w:rPr>
        <w:t>合理的配慮に当たり得る物理的環境への配慮の具体例</w:t>
      </w:r>
      <w:r>
        <w:rPr>
          <w:rFonts w:asciiTheme="minorEastAsia" w:hAnsiTheme="minorEastAsia" w:hint="eastAsia"/>
          <w:sz w:val="24"/>
          <w:szCs w:val="24"/>
        </w:rPr>
        <w:t>)</w:t>
      </w:r>
    </w:p>
    <w:p w:rsidR="00B907BB" w:rsidRPr="00656D2A" w:rsidRDefault="00B907BB" w:rsidP="00B907BB">
      <w:pPr>
        <w:ind w:leftChars="100" w:left="214"/>
        <w:rPr>
          <w:rFonts w:asciiTheme="minorEastAsia" w:hAnsiTheme="minorEastAsia"/>
          <w:color w:val="000000" w:themeColor="text1"/>
          <w:sz w:val="22"/>
        </w:rPr>
      </w:pPr>
      <w:r w:rsidRPr="00656D2A">
        <w:rPr>
          <w:rFonts w:asciiTheme="minorEastAsia" w:hAnsiTheme="minorEastAsia" w:hint="eastAsia"/>
          <w:color w:val="000000" w:themeColor="text1"/>
          <w:sz w:val="22"/>
        </w:rPr>
        <w:t>○段差がある場合に、車椅子利用者にキャスター上げ等の補助をする、携帯スロープを渡すなどする。</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配架棚の高い所に置かれたパンフレット等を取って渡す。パンフレット等の位置を分かりやすく伝える。</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目的の場所までの案内の際に、障害者の歩行速度に合わせた速度で歩いたり、前後・左右・距離の位置取りについて、障害者の希望を聞いたりする。</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障害の特性により、頻繁に離席の必要がある場合に、会場の座席位置を扉付近にする。</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疲労を感じやすい障害者から別室での休憩の申し出があった際、別室の確保が困難であったことから、当該障害者に事情を説明し、対応窓口の近くに長椅子を移動させて臨時の休憩スペースを設ける。</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不随意運動等により書類等を押さえることが難しい障害者に対し、職員が書類を押さえたり、バインダー等の固定器具を提供したりする。</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災害や事故が発生した際、館内放送で避難情報等の緊急情報を聞くことが難しい聴覚障害者に対し、掲示板、手書きのボード等を用いて、分かりやすく案内し誘導を図る。</w:t>
      </w:r>
    </w:p>
    <w:p w:rsidR="00B907BB" w:rsidRPr="00DB6C65" w:rsidRDefault="00B907BB" w:rsidP="00B907BB">
      <w:pPr>
        <w:rPr>
          <w:rFonts w:asciiTheme="minorEastAsia" w:hAnsiTheme="minorEastAsia"/>
          <w:sz w:val="24"/>
          <w:szCs w:val="24"/>
        </w:rPr>
      </w:pPr>
    </w:p>
    <w:p w:rsidR="00B907BB" w:rsidRPr="00A92900" w:rsidRDefault="00B907BB" w:rsidP="00B907BB">
      <w:pPr>
        <w:ind w:firstLineChars="100" w:firstLine="244"/>
        <w:rPr>
          <w:rFonts w:asciiTheme="minorEastAsia" w:hAnsiTheme="minorEastAsia"/>
          <w:sz w:val="24"/>
          <w:szCs w:val="24"/>
        </w:rPr>
      </w:pPr>
      <w:r>
        <w:rPr>
          <w:rFonts w:asciiTheme="minorEastAsia" w:hAnsiTheme="minorEastAsia" w:hint="eastAsia"/>
          <w:sz w:val="24"/>
          <w:szCs w:val="24"/>
        </w:rPr>
        <w:t>(</w:t>
      </w:r>
      <w:r w:rsidRPr="00A92900">
        <w:rPr>
          <w:rFonts w:asciiTheme="minorEastAsia" w:hAnsiTheme="minorEastAsia" w:hint="eastAsia"/>
          <w:sz w:val="24"/>
          <w:szCs w:val="24"/>
        </w:rPr>
        <w:t>合理的配慮に当たり得る意思疎通の配慮の具体例</w:t>
      </w:r>
      <w:r>
        <w:rPr>
          <w:rFonts w:asciiTheme="minorEastAsia" w:hAnsiTheme="minorEastAsia" w:hint="eastAsia"/>
          <w:sz w:val="24"/>
          <w:szCs w:val="24"/>
        </w:rPr>
        <w:t>)</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○点字、拡大文字、要約筆記、筆談、読み上げ、手話</w:t>
      </w:r>
      <w:r w:rsidRPr="00DB6C65">
        <w:rPr>
          <w:rFonts w:asciiTheme="minorEastAsia" w:hAnsiTheme="minorEastAsia" w:hint="eastAsia"/>
          <w:sz w:val="24"/>
          <w:szCs w:val="24"/>
        </w:rPr>
        <w:t>等のコミュニケーション手段(ＩＣＴ機器によるものを含む。)を用いる。</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会議資料等について、点字、拡大文字等で作成する際に、各々の媒体間でページ番号等が異なり得ることに留意して使用する。</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視覚障害のある出席者に会議資料等を事前送付する際、読み上げソフトに対応できるよう電子データ（テキスト形式）で提供する。</w:t>
      </w:r>
    </w:p>
    <w:p w:rsidR="00B907BB" w:rsidRDefault="00B907BB" w:rsidP="00B907BB">
      <w:pPr>
        <w:ind w:leftChars="100" w:left="214"/>
        <w:rPr>
          <w:rFonts w:asciiTheme="minorEastAsia" w:hAnsiTheme="minorEastAsia"/>
          <w:sz w:val="24"/>
          <w:szCs w:val="24"/>
        </w:rPr>
      </w:pPr>
      <w:r>
        <w:rPr>
          <w:rFonts w:asciiTheme="minorEastAsia" w:hAnsiTheme="minorEastAsia" w:hint="eastAsia"/>
          <w:sz w:val="24"/>
          <w:szCs w:val="24"/>
        </w:rPr>
        <w:lastRenderedPageBreak/>
        <w:t>○</w:t>
      </w:r>
      <w:r w:rsidRPr="00DB6C65">
        <w:rPr>
          <w:rFonts w:asciiTheme="minorEastAsia" w:hAnsiTheme="minorEastAsia" w:hint="eastAsia"/>
          <w:sz w:val="24"/>
          <w:szCs w:val="24"/>
        </w:rPr>
        <w:t>駐車場、会場入口などで通常、口頭で行う案内を、紙にメモをして渡す。</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書類記入の依頼時に、記入方法等を本人の目の前で示したり、分かりやすい記述で伝達したりする。本人の依頼がある場合には、代読や代筆といった配慮を行う。</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比喩表現等が苦手な障害者に対し、比喩や暗喩、二重否定表現などを用いずに具体的に説明する。</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障害者から申し出があった際に、ゆっくり、丁寧に、繰り返し説明し、内容が理解されたことを確認しながら応対する。また、なじみのない外来語は避ける、漢数字は用いない、時刻は24時間表記ではなく午前・午後で表記するなどの配慮を念頭に置いたメモを、必要に応じて適時に渡す。</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会議の進行に当たり、資料を見ながら説明を聞くことが困難な視覚又は聴覚に障害のある出席者や知的障害のある出席者に対し、ゆっくり、誰が話しているのか分かるように挙手して話す、一人ずつ話すなどの丁寧な進行を心がける配慮を行う。</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会議の進行に当たっては、出席者の障害の特性に合ったサポートを行う、また、介助員の同席を認めるなどの可能な範囲での配慮を行う。</w:t>
      </w:r>
    </w:p>
    <w:p w:rsidR="00B907BB" w:rsidRPr="00215B04" w:rsidRDefault="00B907BB" w:rsidP="00B907BB">
      <w:pPr>
        <w:rPr>
          <w:rFonts w:asciiTheme="minorEastAsia" w:hAnsiTheme="minorEastAsia"/>
          <w:sz w:val="24"/>
          <w:szCs w:val="24"/>
        </w:rPr>
      </w:pPr>
    </w:p>
    <w:p w:rsidR="00B907BB" w:rsidRPr="00A92900" w:rsidRDefault="00B907BB" w:rsidP="00B907BB">
      <w:pPr>
        <w:ind w:firstLineChars="100" w:firstLine="244"/>
        <w:rPr>
          <w:rFonts w:asciiTheme="minorEastAsia" w:hAnsiTheme="minorEastAsia"/>
          <w:sz w:val="24"/>
          <w:szCs w:val="24"/>
        </w:rPr>
      </w:pPr>
      <w:r>
        <w:rPr>
          <w:rFonts w:asciiTheme="minorEastAsia" w:hAnsiTheme="minorEastAsia" w:hint="eastAsia"/>
          <w:sz w:val="24"/>
          <w:szCs w:val="24"/>
        </w:rPr>
        <w:t>(</w:t>
      </w:r>
      <w:r w:rsidRPr="00A92900">
        <w:rPr>
          <w:rFonts w:asciiTheme="minorEastAsia" w:hAnsiTheme="minorEastAsia" w:hint="eastAsia"/>
          <w:sz w:val="24"/>
          <w:szCs w:val="24"/>
        </w:rPr>
        <w:t>ルール・慣行の柔軟な変更の具体例</w:t>
      </w:r>
      <w:r>
        <w:rPr>
          <w:rFonts w:asciiTheme="minorEastAsia" w:hAnsiTheme="minorEastAsia" w:hint="eastAsia"/>
          <w:sz w:val="24"/>
          <w:szCs w:val="24"/>
        </w:rPr>
        <w:t>)</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順番を待つことが苦手な</w:t>
      </w:r>
      <w:bookmarkStart w:id="0" w:name="_GoBack"/>
      <w:bookmarkEnd w:id="0"/>
      <w:r w:rsidRPr="00DB6C65">
        <w:rPr>
          <w:rFonts w:asciiTheme="minorEastAsia" w:hAnsiTheme="minorEastAsia" w:hint="eastAsia"/>
          <w:sz w:val="24"/>
          <w:szCs w:val="24"/>
        </w:rPr>
        <w:t>障害者に対し、周囲の者の理解を得た上で、手続き順を入れ替える。</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立って列に並んで順番を待っている場合に、周囲の者の理解を得た上で、当該障害者の順番が来るまで別室や席を用意する。</w:t>
      </w:r>
    </w:p>
    <w:p w:rsidR="00B907BB"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会議、研修、講演などでは、スクリーン、手話通訳者、要約筆記、板書が良く見える場所に席を確保し、手話通訳は話し手の横で通訳するようにする。また、手話通訳が見えるように通訳台を準備する。</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車両乗降場所を施設出入口に近い場所へ変更する。</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庁舎施設の敷地内の駐車場等において、障害者の来庁が多数見込まれる場合、通常、障害者専用とされていない区画を障害者専用の区画に変更する。</w:t>
      </w:r>
    </w:p>
    <w:p w:rsidR="00B907BB"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他人との接触、多人数の中にいることによる緊張等により、発作等がある場合、当該障害者に説明の上、障害の特性や施設の状況に応じて別室を準備する。</w:t>
      </w:r>
    </w:p>
    <w:p w:rsidR="00B907BB"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非公表又は未公表情報を扱う会議等において、情報管理に係る担保が得られることを前提に、障害のある委員の理解を援助する者及びコミュニケーションを支援する者（手話通訳者等</w:t>
      </w:r>
      <w:r w:rsidRPr="00DB6C65">
        <w:rPr>
          <w:rFonts w:asciiTheme="minorEastAsia" w:hAnsiTheme="minorEastAsia"/>
          <w:sz w:val="24"/>
          <w:szCs w:val="24"/>
        </w:rPr>
        <w:t>）</w:t>
      </w:r>
      <w:r w:rsidRPr="00DB6C65">
        <w:rPr>
          <w:rFonts w:asciiTheme="minorEastAsia" w:hAnsiTheme="minorEastAsia" w:hint="eastAsia"/>
          <w:sz w:val="24"/>
          <w:szCs w:val="24"/>
        </w:rPr>
        <w:t>の同席を認める。</w:t>
      </w:r>
    </w:p>
    <w:p w:rsidR="00B907BB" w:rsidRPr="00DB6C65" w:rsidRDefault="00B907BB" w:rsidP="00B907BB">
      <w:pPr>
        <w:ind w:leftChars="100" w:left="214"/>
        <w:rPr>
          <w:rFonts w:asciiTheme="minorEastAsia" w:hAnsiTheme="minorEastAsia"/>
          <w:sz w:val="24"/>
          <w:szCs w:val="24"/>
        </w:rPr>
      </w:pPr>
      <w:r>
        <w:rPr>
          <w:rFonts w:asciiTheme="minorEastAsia" w:hAnsiTheme="minorEastAsia" w:hint="eastAsia"/>
          <w:sz w:val="24"/>
          <w:szCs w:val="24"/>
        </w:rPr>
        <w:t>○</w:t>
      </w:r>
      <w:r w:rsidRPr="00DB6C65">
        <w:rPr>
          <w:rFonts w:asciiTheme="minorEastAsia" w:hAnsiTheme="minorEastAsia" w:hint="eastAsia"/>
          <w:sz w:val="24"/>
          <w:szCs w:val="24"/>
        </w:rPr>
        <w:t>電話による申し込みや本人確認において、電話ができない聴覚障害者のために、ファックスやメールなどの方法も認める。</w:t>
      </w:r>
    </w:p>
    <w:p w:rsidR="00EC6504" w:rsidRPr="00B907BB" w:rsidRDefault="009233A4"/>
    <w:sectPr w:rsidR="00EC6504" w:rsidRPr="00B907BB" w:rsidSect="00974303">
      <w:footerReference w:type="default" r:id="rId6"/>
      <w:pgSz w:w="11906" w:h="16838" w:code="9"/>
      <w:pgMar w:top="1440" w:right="1080" w:bottom="1440" w:left="1080" w:header="851" w:footer="567" w:gutter="0"/>
      <w:cols w:space="425"/>
      <w:docGrid w:type="linesAndChars" w:linePitch="380"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0C9" w:rsidRDefault="007E40C9" w:rsidP="00B907BB">
      <w:r>
        <w:separator/>
      </w:r>
    </w:p>
  </w:endnote>
  <w:endnote w:type="continuationSeparator" w:id="0">
    <w:p w:rsidR="007E40C9" w:rsidRDefault="007E40C9" w:rsidP="00B907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81" w:rsidRPr="00791838" w:rsidRDefault="009233A4">
    <w:pPr>
      <w:pStyle w:val="af2"/>
      <w:jc w:val="center"/>
      <w:rPr>
        <w:rFonts w:asciiTheme="minorEastAsia" w:hAnsiTheme="minorEastAsia"/>
      </w:rPr>
    </w:pPr>
  </w:p>
  <w:p w:rsidR="00347A81" w:rsidRDefault="009233A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0C9" w:rsidRDefault="007E40C9" w:rsidP="00B907BB">
      <w:r>
        <w:separator/>
      </w:r>
    </w:p>
  </w:footnote>
  <w:footnote w:type="continuationSeparator" w:id="0">
    <w:p w:rsidR="007E40C9" w:rsidRDefault="007E40C9" w:rsidP="00B907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07BB"/>
    <w:rsid w:val="000F47ED"/>
    <w:rsid w:val="00314186"/>
    <w:rsid w:val="00437DAD"/>
    <w:rsid w:val="006873DF"/>
    <w:rsid w:val="006F0E16"/>
    <w:rsid w:val="007E40C9"/>
    <w:rsid w:val="008147EE"/>
    <w:rsid w:val="009233A4"/>
    <w:rsid w:val="00984B5B"/>
    <w:rsid w:val="009C4472"/>
    <w:rsid w:val="009E6332"/>
    <w:rsid w:val="00B907BB"/>
    <w:rsid w:val="00BF4BD7"/>
    <w:rsid w:val="00BF60A8"/>
    <w:rsid w:val="00C24401"/>
    <w:rsid w:val="00D01B1E"/>
    <w:rsid w:val="00EA62C7"/>
    <w:rsid w:val="00F156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7BB"/>
    <w:pPr>
      <w:widowControl w:val="0"/>
      <w:spacing w:after="0" w:line="240" w:lineRule="auto"/>
      <w:jc w:val="both"/>
    </w:pPr>
    <w:rPr>
      <w:kern w:val="2"/>
      <w:sz w:val="21"/>
      <w:lang w:eastAsia="ja-JP" w:bidi="ar-SA"/>
    </w:rPr>
  </w:style>
  <w:style w:type="paragraph" w:styleId="1">
    <w:name w:val="heading 1"/>
    <w:basedOn w:val="a"/>
    <w:next w:val="a"/>
    <w:link w:val="10"/>
    <w:uiPriority w:val="9"/>
    <w:qFormat/>
    <w:rsid w:val="006873DF"/>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0"/>
    <w:uiPriority w:val="9"/>
    <w:semiHidden/>
    <w:unhideWhenUsed/>
    <w:qFormat/>
    <w:rsid w:val="006873DF"/>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0"/>
    <w:uiPriority w:val="9"/>
    <w:semiHidden/>
    <w:unhideWhenUsed/>
    <w:qFormat/>
    <w:rsid w:val="006873DF"/>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lang w:eastAsia="en-US" w:bidi="en-US"/>
    </w:rPr>
  </w:style>
  <w:style w:type="paragraph" w:styleId="4">
    <w:name w:val="heading 4"/>
    <w:basedOn w:val="a"/>
    <w:next w:val="a"/>
    <w:link w:val="40"/>
    <w:uiPriority w:val="9"/>
    <w:semiHidden/>
    <w:unhideWhenUsed/>
    <w:qFormat/>
    <w:rsid w:val="006873DF"/>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lang w:eastAsia="en-US" w:bidi="en-US"/>
    </w:rPr>
  </w:style>
  <w:style w:type="paragraph" w:styleId="5">
    <w:name w:val="heading 5"/>
    <w:basedOn w:val="a"/>
    <w:next w:val="a"/>
    <w:link w:val="50"/>
    <w:uiPriority w:val="9"/>
    <w:semiHidden/>
    <w:unhideWhenUsed/>
    <w:qFormat/>
    <w:rsid w:val="006873DF"/>
    <w:pPr>
      <w:keepNext/>
      <w:keepLines/>
      <w:widowControl/>
      <w:spacing w:before="200" w:line="276" w:lineRule="auto"/>
      <w:jc w:val="left"/>
      <w:outlineLvl w:val="4"/>
    </w:pPr>
    <w:rPr>
      <w:rFonts w:asciiTheme="majorHAnsi" w:eastAsiaTheme="majorEastAsia" w:hAnsiTheme="majorHAnsi" w:cstheme="majorBidi"/>
      <w:color w:val="243F60" w:themeColor="accent1" w:themeShade="7F"/>
      <w:kern w:val="0"/>
      <w:sz w:val="22"/>
      <w:lang w:eastAsia="en-US" w:bidi="en-US"/>
    </w:rPr>
  </w:style>
  <w:style w:type="paragraph" w:styleId="6">
    <w:name w:val="heading 6"/>
    <w:basedOn w:val="a"/>
    <w:next w:val="a"/>
    <w:link w:val="60"/>
    <w:uiPriority w:val="9"/>
    <w:semiHidden/>
    <w:unhideWhenUsed/>
    <w:qFormat/>
    <w:rsid w:val="006873DF"/>
    <w:pPr>
      <w:keepNext/>
      <w:keepLines/>
      <w:widowControl/>
      <w:spacing w:before="200" w:line="276" w:lineRule="auto"/>
      <w:jc w:val="left"/>
      <w:outlineLvl w:val="5"/>
    </w:pPr>
    <w:rPr>
      <w:rFonts w:asciiTheme="majorHAnsi" w:eastAsiaTheme="majorEastAsia" w:hAnsiTheme="majorHAnsi" w:cstheme="majorBidi"/>
      <w:i/>
      <w:iCs/>
      <w:color w:val="243F60" w:themeColor="accent1" w:themeShade="7F"/>
      <w:kern w:val="0"/>
      <w:sz w:val="22"/>
      <w:lang w:eastAsia="en-US" w:bidi="en-US"/>
    </w:rPr>
  </w:style>
  <w:style w:type="paragraph" w:styleId="7">
    <w:name w:val="heading 7"/>
    <w:basedOn w:val="a"/>
    <w:next w:val="a"/>
    <w:link w:val="70"/>
    <w:uiPriority w:val="9"/>
    <w:semiHidden/>
    <w:unhideWhenUsed/>
    <w:qFormat/>
    <w:rsid w:val="006873DF"/>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lang w:eastAsia="en-US" w:bidi="en-US"/>
    </w:rPr>
  </w:style>
  <w:style w:type="paragraph" w:styleId="8">
    <w:name w:val="heading 8"/>
    <w:basedOn w:val="a"/>
    <w:next w:val="a"/>
    <w:link w:val="80"/>
    <w:uiPriority w:val="9"/>
    <w:semiHidden/>
    <w:unhideWhenUsed/>
    <w:qFormat/>
    <w:rsid w:val="006873DF"/>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szCs w:val="20"/>
      <w:lang w:eastAsia="en-US" w:bidi="en-US"/>
    </w:rPr>
  </w:style>
  <w:style w:type="paragraph" w:styleId="9">
    <w:name w:val="heading 9"/>
    <w:basedOn w:val="a"/>
    <w:next w:val="a"/>
    <w:link w:val="90"/>
    <w:uiPriority w:val="9"/>
    <w:semiHidden/>
    <w:unhideWhenUsed/>
    <w:qFormat/>
    <w:rsid w:val="006873DF"/>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73DF"/>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6873DF"/>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6873DF"/>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6873DF"/>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6873DF"/>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6873DF"/>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6873D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6873DF"/>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6873D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873DF"/>
    <w:pPr>
      <w:widowControl/>
      <w:spacing w:after="200"/>
      <w:jc w:val="left"/>
    </w:pPr>
    <w:rPr>
      <w:b/>
      <w:bCs/>
      <w:color w:val="4F81BD" w:themeColor="accent1"/>
      <w:kern w:val="0"/>
      <w:sz w:val="18"/>
      <w:szCs w:val="18"/>
      <w:lang w:eastAsia="en-US" w:bidi="en-US"/>
    </w:rPr>
  </w:style>
  <w:style w:type="paragraph" w:styleId="a4">
    <w:name w:val="Title"/>
    <w:basedOn w:val="a"/>
    <w:next w:val="a"/>
    <w:link w:val="a5"/>
    <w:uiPriority w:val="10"/>
    <w:qFormat/>
    <w:rsid w:val="006873DF"/>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a5">
    <w:name w:val="表題 (文字)"/>
    <w:basedOn w:val="a0"/>
    <w:link w:val="a4"/>
    <w:uiPriority w:val="10"/>
    <w:rsid w:val="006873D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873DF"/>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lang w:eastAsia="en-US" w:bidi="en-US"/>
    </w:rPr>
  </w:style>
  <w:style w:type="character" w:customStyle="1" w:styleId="a7">
    <w:name w:val="副題 (文字)"/>
    <w:basedOn w:val="a0"/>
    <w:link w:val="a6"/>
    <w:uiPriority w:val="11"/>
    <w:rsid w:val="006873D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873DF"/>
    <w:rPr>
      <w:b/>
      <w:bCs/>
    </w:rPr>
  </w:style>
  <w:style w:type="character" w:styleId="a9">
    <w:name w:val="Emphasis"/>
    <w:basedOn w:val="a0"/>
    <w:uiPriority w:val="20"/>
    <w:qFormat/>
    <w:rsid w:val="006873DF"/>
    <w:rPr>
      <w:i/>
      <w:iCs/>
    </w:rPr>
  </w:style>
  <w:style w:type="paragraph" w:styleId="aa">
    <w:name w:val="No Spacing"/>
    <w:uiPriority w:val="1"/>
    <w:qFormat/>
    <w:rsid w:val="006873DF"/>
    <w:pPr>
      <w:spacing w:after="0" w:line="240" w:lineRule="auto"/>
    </w:pPr>
  </w:style>
  <w:style w:type="paragraph" w:styleId="ab">
    <w:name w:val="List Paragraph"/>
    <w:basedOn w:val="a"/>
    <w:uiPriority w:val="34"/>
    <w:qFormat/>
    <w:rsid w:val="006873DF"/>
    <w:pPr>
      <w:widowControl/>
      <w:spacing w:after="200" w:line="276" w:lineRule="auto"/>
      <w:ind w:left="720"/>
      <w:contextualSpacing/>
      <w:jc w:val="left"/>
    </w:pPr>
    <w:rPr>
      <w:kern w:val="0"/>
      <w:sz w:val="22"/>
      <w:lang w:eastAsia="en-US" w:bidi="en-US"/>
    </w:rPr>
  </w:style>
  <w:style w:type="paragraph" w:styleId="ac">
    <w:name w:val="Quote"/>
    <w:basedOn w:val="a"/>
    <w:next w:val="a"/>
    <w:link w:val="ad"/>
    <w:uiPriority w:val="29"/>
    <w:qFormat/>
    <w:rsid w:val="006873DF"/>
    <w:pPr>
      <w:widowControl/>
      <w:spacing w:after="200" w:line="276" w:lineRule="auto"/>
      <w:jc w:val="left"/>
    </w:pPr>
    <w:rPr>
      <w:i/>
      <w:iCs/>
      <w:color w:val="000000" w:themeColor="text1"/>
      <w:kern w:val="0"/>
      <w:sz w:val="22"/>
      <w:lang w:eastAsia="en-US" w:bidi="en-US"/>
    </w:rPr>
  </w:style>
  <w:style w:type="character" w:customStyle="1" w:styleId="ad">
    <w:name w:val="引用文 (文字)"/>
    <w:basedOn w:val="a0"/>
    <w:link w:val="ac"/>
    <w:uiPriority w:val="29"/>
    <w:rsid w:val="006873DF"/>
    <w:rPr>
      <w:i/>
      <w:iCs/>
      <w:color w:val="000000" w:themeColor="text1"/>
    </w:rPr>
  </w:style>
  <w:style w:type="paragraph" w:styleId="21">
    <w:name w:val="Intense Quote"/>
    <w:basedOn w:val="a"/>
    <w:next w:val="a"/>
    <w:link w:val="22"/>
    <w:uiPriority w:val="30"/>
    <w:qFormat/>
    <w:rsid w:val="006873DF"/>
    <w:pPr>
      <w:widowControl/>
      <w:pBdr>
        <w:bottom w:val="single" w:sz="4" w:space="4" w:color="4F81BD" w:themeColor="accent1"/>
      </w:pBdr>
      <w:spacing w:before="200" w:after="280" w:line="276" w:lineRule="auto"/>
      <w:ind w:left="936" w:right="936"/>
      <w:jc w:val="left"/>
    </w:pPr>
    <w:rPr>
      <w:b/>
      <w:bCs/>
      <w:i/>
      <w:iCs/>
      <w:color w:val="4F81BD" w:themeColor="accent1"/>
      <w:kern w:val="0"/>
      <w:sz w:val="22"/>
      <w:lang w:eastAsia="en-US" w:bidi="en-US"/>
    </w:rPr>
  </w:style>
  <w:style w:type="character" w:customStyle="1" w:styleId="22">
    <w:name w:val="引用文 2 (文字)"/>
    <w:basedOn w:val="a0"/>
    <w:link w:val="21"/>
    <w:uiPriority w:val="30"/>
    <w:rsid w:val="006873DF"/>
    <w:rPr>
      <w:b/>
      <w:bCs/>
      <w:i/>
      <w:iCs/>
      <w:color w:val="4F81BD" w:themeColor="accent1"/>
    </w:rPr>
  </w:style>
  <w:style w:type="character" w:styleId="ae">
    <w:name w:val="Subtle Emphasis"/>
    <w:basedOn w:val="a0"/>
    <w:uiPriority w:val="19"/>
    <w:qFormat/>
    <w:rsid w:val="006873DF"/>
    <w:rPr>
      <w:i/>
      <w:iCs/>
      <w:color w:val="808080" w:themeColor="text1" w:themeTint="7F"/>
    </w:rPr>
  </w:style>
  <w:style w:type="character" w:styleId="23">
    <w:name w:val="Intense Emphasis"/>
    <w:basedOn w:val="a0"/>
    <w:uiPriority w:val="21"/>
    <w:qFormat/>
    <w:rsid w:val="006873DF"/>
    <w:rPr>
      <w:b/>
      <w:bCs/>
      <w:i/>
      <w:iCs/>
      <w:color w:val="4F81BD" w:themeColor="accent1"/>
    </w:rPr>
  </w:style>
  <w:style w:type="character" w:styleId="af">
    <w:name w:val="Subtle Reference"/>
    <w:basedOn w:val="a0"/>
    <w:uiPriority w:val="31"/>
    <w:qFormat/>
    <w:rsid w:val="006873DF"/>
    <w:rPr>
      <w:smallCaps/>
      <w:color w:val="C0504D" w:themeColor="accent2"/>
      <w:u w:val="single"/>
    </w:rPr>
  </w:style>
  <w:style w:type="character" w:styleId="24">
    <w:name w:val="Intense Reference"/>
    <w:basedOn w:val="a0"/>
    <w:uiPriority w:val="32"/>
    <w:qFormat/>
    <w:rsid w:val="006873DF"/>
    <w:rPr>
      <w:b/>
      <w:bCs/>
      <w:smallCaps/>
      <w:color w:val="C0504D" w:themeColor="accent2"/>
      <w:spacing w:val="5"/>
      <w:u w:val="single"/>
    </w:rPr>
  </w:style>
  <w:style w:type="character" w:styleId="af0">
    <w:name w:val="Book Title"/>
    <w:basedOn w:val="a0"/>
    <w:uiPriority w:val="33"/>
    <w:qFormat/>
    <w:rsid w:val="006873DF"/>
    <w:rPr>
      <w:b/>
      <w:bCs/>
      <w:smallCaps/>
      <w:spacing w:val="5"/>
    </w:rPr>
  </w:style>
  <w:style w:type="paragraph" w:styleId="af1">
    <w:name w:val="TOC Heading"/>
    <w:basedOn w:val="1"/>
    <w:next w:val="a"/>
    <w:uiPriority w:val="39"/>
    <w:semiHidden/>
    <w:unhideWhenUsed/>
    <w:qFormat/>
    <w:rsid w:val="006873DF"/>
    <w:pPr>
      <w:outlineLvl w:val="9"/>
    </w:pPr>
  </w:style>
  <w:style w:type="paragraph" w:styleId="af2">
    <w:name w:val="footer"/>
    <w:basedOn w:val="a"/>
    <w:link w:val="af3"/>
    <w:uiPriority w:val="99"/>
    <w:unhideWhenUsed/>
    <w:rsid w:val="00B907BB"/>
    <w:pPr>
      <w:tabs>
        <w:tab w:val="center" w:pos="4252"/>
        <w:tab w:val="right" w:pos="8504"/>
      </w:tabs>
      <w:snapToGrid w:val="0"/>
    </w:pPr>
  </w:style>
  <w:style w:type="character" w:customStyle="1" w:styleId="af3">
    <w:name w:val="フッター (文字)"/>
    <w:basedOn w:val="a0"/>
    <w:link w:val="af2"/>
    <w:uiPriority w:val="99"/>
    <w:rsid w:val="00B907BB"/>
    <w:rPr>
      <w:kern w:val="2"/>
      <w:sz w:val="21"/>
      <w:lang w:eastAsia="ja-JP" w:bidi="ar-SA"/>
    </w:rPr>
  </w:style>
  <w:style w:type="paragraph" w:styleId="af4">
    <w:name w:val="header"/>
    <w:basedOn w:val="a"/>
    <w:link w:val="af5"/>
    <w:uiPriority w:val="99"/>
    <w:semiHidden/>
    <w:unhideWhenUsed/>
    <w:rsid w:val="00B907BB"/>
    <w:pPr>
      <w:tabs>
        <w:tab w:val="center" w:pos="4252"/>
        <w:tab w:val="right" w:pos="8504"/>
      </w:tabs>
      <w:snapToGrid w:val="0"/>
    </w:pPr>
  </w:style>
  <w:style w:type="character" w:customStyle="1" w:styleId="af5">
    <w:name w:val="ヘッダー (文字)"/>
    <w:basedOn w:val="a0"/>
    <w:link w:val="af4"/>
    <w:uiPriority w:val="99"/>
    <w:semiHidden/>
    <w:rsid w:val="00B907BB"/>
    <w:rPr>
      <w:kern w:val="2"/>
      <w:sz w:val="21"/>
      <w:lang w:eastAsia="ja-JP"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00592</dc:creator>
  <cp:lastModifiedBy>00581</cp:lastModifiedBy>
  <cp:revision>4</cp:revision>
  <dcterms:created xsi:type="dcterms:W3CDTF">2016-03-28T06:45:00Z</dcterms:created>
  <dcterms:modified xsi:type="dcterms:W3CDTF">2016-04-04T02:04:00Z</dcterms:modified>
</cp:coreProperties>
</file>